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619" w:tblpY="1225"/>
        <w:tblOverlap w:val="never"/>
        <w:tblW w:w="9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17"/>
        <w:gridCol w:w="3033"/>
        <w:gridCol w:w="4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2023年立项研究课题验收评审结果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申报单位单位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张晓涛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西安交通大学管理学院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数字经济时代智能财务建设与业财融合研究实践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蔡鑫磊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陕西燃气集团有限公司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“双碳”目标下管理会计体系构建与企业可持续发展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王爱琴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双碳目标下地方国有企业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在管理会计中的社会责任核算及研究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张玉珍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管理会计标准体系比较研究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王莉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西安财经大学行知学院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数字经济新业态产品和服务税收征管改革研究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张蔚虹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智能财务决策理论研究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安康市中医医院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会计工作如何促进地市级医院高质量发展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陕西祥胜会计师事务所有限公司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地方政府购买服务引入第三方参与绩效评价路径探索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李梦茜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基于智慧财务的高校内部控制路径优化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常馨文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西安财经大学行知学院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“大智移云”背景下乡村财务管理信息化发展研究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——以陕西省勉县为例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53F15B6B"/>
    <w:rsid w:val="73E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2024-03-15T06:56:49Z</dcterms:created>
  <dc:creator>Joyce</dc:creator>
  <cp:lastModifiedBy>LINNAN</cp:lastModifiedBy>
  <dcterms:modified xsi:type="dcterms:W3CDTF">2024-03-15T06:57:53Z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9E2D9F9DBCCB4C37BF077C09257D1198_12</vt:lpwstr>
  </property>
</Properties>
</file>